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rFonts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44"/>
          <w:szCs w:val="44"/>
        </w:rPr>
      </w:pPr>
      <w:r>
        <w:rPr>
          <w:rFonts w:hint="eastAsia" w:ascii="微软雅黑" w:hAnsi="微软雅黑" w:eastAsia="微软雅黑"/>
          <w:color w:val="000000"/>
          <w:sz w:val="44"/>
          <w:szCs w:val="44"/>
        </w:rPr>
        <w:t>2020年度</w:t>
      </w:r>
    </w:p>
    <w:p>
      <w:pPr>
        <w:pStyle w:val="2"/>
        <w:shd w:val="clear" w:color="auto" w:fill="FFFFFF"/>
        <w:spacing w:before="0" w:beforeAutospacing="0" w:after="0" w:afterAutospacing="0"/>
        <w:jc w:val="center"/>
        <w:rPr>
          <w:rFonts w:hint="eastAsia" w:ascii="微软雅黑" w:hAnsi="微软雅黑" w:eastAsia="微软雅黑"/>
          <w:color w:val="000000"/>
          <w:sz w:val="44"/>
          <w:szCs w:val="44"/>
        </w:rPr>
      </w:pPr>
      <w:r>
        <w:rPr>
          <w:rFonts w:hint="eastAsia" w:ascii="微软雅黑" w:hAnsi="微软雅黑" w:eastAsia="微软雅黑"/>
          <w:color w:val="000000"/>
          <w:sz w:val="44"/>
          <w:szCs w:val="44"/>
        </w:rPr>
        <w:t>甘肃省国家公园监测中心部门决算</w:t>
      </w:r>
    </w:p>
    <w:p>
      <w:pPr>
        <w:pStyle w:val="2"/>
        <w:shd w:val="clear" w:color="auto" w:fill="FFFFFF"/>
        <w:spacing w:before="0" w:beforeAutospacing="0" w:after="0" w:afterAutospacing="0"/>
        <w:jc w:val="center"/>
        <w:rPr>
          <w:rFonts w:hint="eastAsia" w:ascii="微软雅黑" w:hAnsi="微软雅黑" w:eastAsia="微软雅黑"/>
          <w:color w:val="000000"/>
          <w:sz w:val="44"/>
          <w:szCs w:val="44"/>
        </w:rPr>
      </w:pPr>
      <w:r>
        <w:rPr>
          <w:rFonts w:hint="eastAsia" w:ascii="微软雅黑" w:hAnsi="微软雅黑" w:eastAsia="微软雅黑"/>
          <w:color w:val="000000"/>
          <w:sz w:val="44"/>
          <w:szCs w:val="44"/>
        </w:rPr>
        <w:t> </w:t>
      </w:r>
    </w:p>
    <w:p>
      <w:pPr>
        <w:pStyle w:val="2"/>
        <w:shd w:val="clear" w:color="auto" w:fill="FFFFFF"/>
        <w:spacing w:before="0" w:beforeAutospacing="0" w:after="0" w:afterAutospacing="0"/>
        <w:jc w:val="center"/>
        <w:rPr>
          <w:rFonts w:hint="eastAsia" w:ascii="微软雅黑" w:hAnsi="微软雅黑" w:eastAsia="微软雅黑"/>
          <w:color w:val="000000"/>
          <w:sz w:val="44"/>
          <w:szCs w:val="44"/>
        </w:rPr>
      </w:pPr>
      <w:r>
        <w:rPr>
          <w:rFonts w:hint="eastAsia" w:ascii="微软雅黑" w:hAnsi="微软雅黑" w:eastAsia="微软雅黑"/>
          <w:color w:val="000000"/>
          <w:sz w:val="44"/>
          <w:szCs w:val="44"/>
        </w:rPr>
        <w:t> </w:t>
      </w:r>
    </w:p>
    <w:p>
      <w:pPr>
        <w:pStyle w:val="2"/>
        <w:shd w:val="clear" w:color="auto" w:fill="FFFFFF"/>
        <w:spacing w:before="0" w:beforeAutospacing="0" w:after="0" w:afterAutospacing="0"/>
        <w:jc w:val="center"/>
        <w:rPr>
          <w:rFonts w:hint="eastAsia" w:ascii="微软雅黑" w:hAnsi="微软雅黑" w:eastAsia="微软雅黑"/>
          <w:color w:val="000000"/>
          <w:sz w:val="44"/>
          <w:szCs w:val="44"/>
        </w:rPr>
      </w:pPr>
      <w:r>
        <w:rPr>
          <w:rFonts w:hint="eastAsia" w:ascii="微软雅黑" w:hAnsi="微软雅黑" w:eastAsia="微软雅黑"/>
          <w:color w:val="000000"/>
          <w:sz w:val="44"/>
          <w:szCs w:val="44"/>
        </w:rPr>
        <w:t> </w:t>
      </w:r>
    </w:p>
    <w:p>
      <w:pPr>
        <w:pStyle w:val="2"/>
        <w:shd w:val="clear" w:color="auto" w:fill="FFFFFF"/>
        <w:spacing w:before="0" w:beforeAutospacing="0" w:after="0" w:afterAutospacing="0"/>
        <w:jc w:val="center"/>
        <w:rPr>
          <w:rFonts w:hint="eastAsia" w:ascii="微软雅黑" w:hAnsi="微软雅黑" w:eastAsia="微软雅黑"/>
          <w:color w:val="000000"/>
          <w:sz w:val="44"/>
          <w:szCs w:val="44"/>
        </w:rPr>
      </w:pPr>
      <w:r>
        <w:rPr>
          <w:rFonts w:hint="eastAsia" w:ascii="微软雅黑" w:hAnsi="微软雅黑" w:eastAsia="微软雅黑"/>
          <w:color w:val="000000"/>
          <w:sz w:val="44"/>
          <w:szCs w:val="44"/>
        </w:rPr>
        <w:t> </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32"/>
          <w:szCs w:val="32"/>
        </w:rPr>
      </w:pPr>
      <w:r>
        <w:rPr>
          <w:rStyle w:val="5"/>
          <w:rFonts w:hint="eastAsia" w:ascii="微软雅黑" w:hAnsi="微软雅黑" w:eastAsia="微软雅黑"/>
          <w:color w:val="000000"/>
          <w:sz w:val="32"/>
          <w:szCs w:val="32"/>
        </w:rPr>
        <w:t>目</w:t>
      </w:r>
      <w:r>
        <w:rPr>
          <w:rFonts w:hint="eastAsia" w:ascii="微软雅黑" w:hAnsi="微软雅黑" w:eastAsia="微软雅黑"/>
          <w:color w:val="000000"/>
          <w:sz w:val="32"/>
          <w:szCs w:val="32"/>
        </w:rPr>
        <w:t> </w:t>
      </w:r>
      <w:r>
        <w:rPr>
          <w:rStyle w:val="5"/>
          <w:rFonts w:hint="eastAsia" w:ascii="微软雅黑" w:hAnsi="微软雅黑" w:eastAsia="微软雅黑"/>
          <w:color w:val="000000"/>
          <w:sz w:val="32"/>
          <w:szCs w:val="32"/>
        </w:rPr>
        <w:t>录</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Style w:val="5"/>
          <w:rFonts w:hint="eastAsia" w:ascii="微软雅黑" w:hAnsi="微软雅黑" w:eastAsia="微软雅黑"/>
          <w:color w:val="000000"/>
          <w:sz w:val="24"/>
          <w:szCs w:val="24"/>
        </w:rPr>
        <w:t>第一部分  部门概括</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一、部门职责</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二、机构设置</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Style w:val="5"/>
          <w:rFonts w:hint="eastAsia" w:ascii="微软雅黑" w:hAnsi="微软雅黑" w:eastAsia="微软雅黑"/>
          <w:color w:val="000000"/>
          <w:sz w:val="24"/>
          <w:szCs w:val="24"/>
        </w:rPr>
        <w:t>第二部分  2020年度部门决算表</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一、收入支出决算总表</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二、收入决算表</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三、支出决算表</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四、财政拨款收入支出决算总表</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五、一般公共预算财政拨款支出决算表</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六、一般公共预算财政拨款基本支出决算表</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七、一般公共预算财政拨款“三公”经费支出决算表</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八、政府性基金预算财政拨款收入支出决算表</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九、国有资本经营预算财政拨款支出决算表</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Style w:val="5"/>
          <w:rFonts w:hint="eastAsia" w:ascii="微软雅黑" w:hAnsi="微软雅黑" w:eastAsia="微软雅黑"/>
          <w:color w:val="000000"/>
          <w:sz w:val="24"/>
          <w:szCs w:val="24"/>
        </w:rPr>
        <w:t>第三部分  2020年度部门决算情况说明</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一、收入支出决算总体情况说明</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二、收入决算情况说明</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三、支出决算情况说明</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四、财政拨款收入支出决算总体情况说明</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五、一般公共预算财政拨款支出决算情况说明</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六、一般公共预算财政拨款基本支出决算情况说明</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七、一般公共预算财政拨款“三公”经费支出决算情况说明</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八、机关运行经费支出情况说明</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九、政府采购支出情况说明</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十、国有资产占用情况说明</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十一、政府性基金预算财政拨款收支决算情况说明</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十二、国有资本经营预算财政拨款支出情况说明</w:t>
      </w:r>
    </w:p>
    <w:p>
      <w:pPr>
        <w:pStyle w:val="2"/>
        <w:shd w:val="clear" w:color="auto" w:fill="FFFFFF"/>
        <w:spacing w:before="0" w:beforeAutospacing="0" w:after="0" w:afterAutospacing="0"/>
        <w:rPr>
          <w:rFonts w:hint="eastAsia" w:ascii="微软雅黑" w:hAnsi="微软雅黑" w:eastAsia="微软雅黑"/>
          <w:color w:val="000000"/>
          <w:sz w:val="24"/>
          <w:szCs w:val="24"/>
        </w:rPr>
      </w:pPr>
      <w:r>
        <w:rPr>
          <w:rFonts w:hint="eastAsia" w:ascii="微软雅黑" w:hAnsi="微软雅黑" w:eastAsia="微软雅黑"/>
          <w:color w:val="000000"/>
          <w:sz w:val="24"/>
          <w:szCs w:val="24"/>
        </w:rPr>
        <w:t>十三、预算绩效情况说明</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Style w:val="5"/>
          <w:rFonts w:hint="eastAsia" w:ascii="微软雅黑" w:hAnsi="微软雅黑" w:eastAsia="微软雅黑"/>
          <w:color w:val="000000"/>
          <w:sz w:val="20"/>
          <w:szCs w:val="20"/>
        </w:rPr>
        <w:t>第四部分  名词解释</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28"/>
          <w:szCs w:val="28"/>
        </w:rPr>
      </w:pPr>
      <w:r>
        <w:rPr>
          <w:rStyle w:val="5"/>
          <w:rFonts w:hint="eastAsia" w:ascii="微软雅黑" w:hAnsi="微软雅黑" w:eastAsia="微软雅黑"/>
          <w:color w:val="000000"/>
          <w:sz w:val="28"/>
          <w:szCs w:val="28"/>
        </w:rPr>
        <w:t>第一部分  部门概括</w:t>
      </w:r>
    </w:p>
    <w:p>
      <w:pPr>
        <w:pStyle w:val="2"/>
        <w:shd w:val="clear" w:color="auto" w:fill="FFFFFF"/>
        <w:spacing w:before="0" w:beforeAutospacing="0" w:after="0" w:afterAutospacing="0"/>
        <w:rPr>
          <w:rFonts w:hint="eastAsia" w:ascii="微软雅黑" w:hAnsi="微软雅黑" w:eastAsia="微软雅黑"/>
          <w:b/>
          <w:bCs/>
          <w:color w:val="000000"/>
          <w:sz w:val="24"/>
          <w:szCs w:val="24"/>
          <w:lang w:val="en-US" w:eastAsia="zh-CN"/>
        </w:rPr>
      </w:pPr>
      <w:r>
        <w:rPr>
          <w:rFonts w:hint="eastAsia" w:ascii="微软雅黑" w:hAnsi="微软雅黑" w:eastAsia="微软雅黑"/>
          <w:b/>
          <w:bCs/>
          <w:color w:val="000000"/>
          <w:sz w:val="24"/>
          <w:szCs w:val="24"/>
          <w:lang w:val="en-US" w:eastAsia="zh-CN"/>
        </w:rPr>
        <w:t>一、部门职责</w:t>
      </w:r>
    </w:p>
    <w:p>
      <w:pPr>
        <w:pStyle w:val="2"/>
        <w:shd w:val="clear" w:color="auto" w:fill="FFFFFF"/>
        <w:spacing w:before="0" w:beforeAutospacing="0" w:after="0" w:afterAutospacing="0"/>
        <w:rPr>
          <w:rFonts w:hint="eastAsia" w:ascii="微软雅黑" w:hAnsi="微软雅黑" w:eastAsia="微软雅黑"/>
          <w:color w:val="000000"/>
          <w:sz w:val="24"/>
          <w:szCs w:val="24"/>
          <w:lang w:val="en-US" w:eastAsia="zh-CN"/>
        </w:rPr>
      </w:pPr>
      <w:r>
        <w:rPr>
          <w:rFonts w:hint="eastAsia" w:ascii="微软雅黑" w:hAnsi="微软雅黑" w:eastAsia="微软雅黑"/>
          <w:color w:val="000000"/>
          <w:sz w:val="24"/>
          <w:szCs w:val="24"/>
          <w:lang w:val="en-US" w:eastAsia="zh-CN"/>
        </w:rPr>
        <w:t>承担国家公园自然资源监测调查、区域生物多样性保护成效评估、珍稀濒危植物和典型生态系统科学研究，进行专业技术培训和推广。开展科普宣传、学术交流等。</w:t>
      </w:r>
    </w:p>
    <w:p>
      <w:pPr>
        <w:pStyle w:val="2"/>
        <w:shd w:val="clear" w:color="auto" w:fill="FFFFFF"/>
        <w:spacing w:before="0" w:beforeAutospacing="0" w:after="0" w:afterAutospacing="0"/>
        <w:rPr>
          <w:rFonts w:hint="eastAsia" w:ascii="微软雅黑" w:hAnsi="微软雅黑" w:eastAsia="微软雅黑"/>
          <w:b/>
          <w:bCs/>
          <w:color w:val="000000"/>
          <w:sz w:val="24"/>
          <w:szCs w:val="24"/>
          <w:lang w:val="en-US" w:eastAsia="zh-CN"/>
        </w:rPr>
      </w:pPr>
      <w:r>
        <w:rPr>
          <w:rFonts w:hint="eastAsia" w:ascii="微软雅黑" w:hAnsi="微软雅黑" w:eastAsia="微软雅黑"/>
          <w:b/>
          <w:bCs/>
          <w:color w:val="000000"/>
          <w:sz w:val="24"/>
          <w:szCs w:val="24"/>
          <w:lang w:val="en-US" w:eastAsia="zh-CN"/>
        </w:rPr>
        <w:t>二、机构设置</w:t>
      </w:r>
    </w:p>
    <w:p>
      <w:pPr>
        <w:pStyle w:val="2"/>
        <w:shd w:val="clear" w:color="auto" w:fill="FFFFFF"/>
        <w:spacing w:before="0" w:beforeAutospacing="0" w:after="0" w:afterAutospacing="0"/>
        <w:rPr>
          <w:rFonts w:hint="eastAsia" w:ascii="微软雅黑" w:hAnsi="微软雅黑" w:eastAsia="微软雅黑"/>
          <w:color w:val="000000"/>
          <w:sz w:val="24"/>
          <w:szCs w:val="24"/>
          <w:lang w:val="en-US" w:eastAsia="zh-CN"/>
        </w:rPr>
      </w:pPr>
      <w:r>
        <w:rPr>
          <w:rFonts w:hint="eastAsia" w:ascii="微软雅黑" w:hAnsi="微软雅黑" w:eastAsia="微软雅黑"/>
          <w:color w:val="000000"/>
          <w:sz w:val="24"/>
          <w:szCs w:val="24"/>
          <w:lang w:val="en-US" w:eastAsia="zh-CN"/>
        </w:rPr>
        <w:t>甘肃省国家公园监测中心为隶属甘肃省林业和草原局的县级事业单位，核定事业编制20人，单位内设综合科、资源科、监测科、科研科四个职能科室。</w:t>
      </w:r>
    </w:p>
    <w:p>
      <w:pPr>
        <w:pStyle w:val="2"/>
        <w:shd w:val="clear" w:color="auto" w:fill="FFFFFF"/>
        <w:spacing w:before="0" w:beforeAutospacing="0" w:after="0" w:afterAutospacing="0"/>
        <w:rPr>
          <w:rFonts w:hint="eastAsia" w:ascii="微软雅黑" w:hAnsi="微软雅黑" w:eastAsia="微软雅黑"/>
          <w:color w:val="000000"/>
          <w:sz w:val="20"/>
          <w:szCs w:val="20"/>
        </w:rPr>
      </w:pPr>
    </w:p>
    <w:p>
      <w:pPr>
        <w:pStyle w:val="2"/>
        <w:shd w:val="clear" w:color="auto" w:fill="FFFFFF"/>
        <w:spacing w:before="0" w:beforeAutospacing="0" w:after="0" w:afterAutospacing="0"/>
        <w:jc w:val="center"/>
        <w:rPr>
          <w:rFonts w:hint="eastAsia" w:ascii="微软雅黑" w:hAnsi="微软雅黑" w:eastAsia="微软雅黑"/>
          <w:color w:val="000000"/>
          <w:sz w:val="28"/>
          <w:szCs w:val="28"/>
        </w:rPr>
      </w:pPr>
      <w:r>
        <w:rPr>
          <w:rStyle w:val="5"/>
          <w:rFonts w:hint="eastAsia" w:ascii="微软雅黑" w:hAnsi="微软雅黑" w:eastAsia="微软雅黑"/>
          <w:color w:val="000000"/>
          <w:sz w:val="28"/>
          <w:szCs w:val="28"/>
        </w:rPr>
        <w:t>第二部分  2020年度部门决算表</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一、收入支出决算总表</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二、收入决算表</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三、支出决算表</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四、财政拨款收入支出决算总表</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五、一般公共预算财政拨款支出决算表</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六、一般公共预算财政拨款基本支出决算表</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七、一般公共预算财政拨款“三公”经费支出决算表</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八、政府性基金预算财政拨款收入支出决算表</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九、国有资本经营预算财政拨款支出决算表</w:t>
      </w:r>
    </w:p>
    <w:p>
      <w:pPr>
        <w:pStyle w:val="2"/>
        <w:rPr>
          <w:rFonts w:hint="eastAsia" w:ascii="黑体" w:hAnsi="黑体" w:eastAsia="黑体" w:cs="黑体"/>
          <w:b/>
          <w:bCs/>
          <w:lang w:val="en-US" w:eastAsia="zh-CN"/>
        </w:rPr>
      </w:pPr>
      <w:r>
        <w:rPr>
          <w:rFonts w:hint="eastAsia" w:ascii="黑体" w:hAnsi="黑体" w:eastAsia="黑体" w:cs="黑体"/>
          <w:b/>
          <w:bCs/>
          <w:lang w:val="en-US" w:eastAsia="zh-CN"/>
        </w:rPr>
        <w:t>2020年部门决算公开表见附件</w:t>
      </w:r>
    </w:p>
    <w:p>
      <w:pPr>
        <w:pStyle w:val="2"/>
        <w:shd w:val="clear" w:color="auto" w:fill="FFFFFF"/>
        <w:spacing w:before="0" w:beforeAutospacing="0" w:after="0" w:afterAutospacing="0"/>
        <w:rPr>
          <w:rFonts w:hint="eastAsia" w:ascii="微软雅黑" w:hAnsi="微软雅黑" w:eastAsia="微软雅黑"/>
          <w:color w:val="000000"/>
          <w:sz w:val="20"/>
          <w:szCs w:val="20"/>
        </w:rPr>
      </w:pPr>
    </w:p>
    <w:p>
      <w:pPr>
        <w:pStyle w:val="2"/>
        <w:shd w:val="clear" w:color="auto" w:fill="FFFFFF"/>
        <w:spacing w:before="0" w:beforeAutospacing="0" w:after="0" w:afterAutospacing="0"/>
        <w:rPr>
          <w:rFonts w:hint="eastAsia" w:ascii="微软雅黑" w:hAnsi="微软雅黑" w:eastAsia="微软雅黑"/>
          <w:color w:val="000000"/>
          <w:sz w:val="20"/>
          <w:szCs w:val="20"/>
        </w:rPr>
      </w:pP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Style w:val="5"/>
          <w:rFonts w:hint="eastAsia" w:ascii="微软雅黑" w:hAnsi="微软雅黑" w:eastAsia="微软雅黑"/>
          <w:color w:val="000000"/>
          <w:sz w:val="32"/>
          <w:szCs w:val="32"/>
        </w:rPr>
        <w:t>第三部分  2020年度部门决算情况说明</w:t>
      </w:r>
    </w:p>
    <w:p>
      <w:pPr>
        <w:pStyle w:val="2"/>
        <w:shd w:val="clear" w:color="auto" w:fill="FFFFFF"/>
        <w:spacing w:before="0" w:beforeAutospacing="0" w:after="0" w:afterAutospacing="0"/>
        <w:ind w:firstLine="400" w:firstLineChars="20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一、收入支出决算总体情况说明</w:t>
      </w:r>
    </w:p>
    <w:p>
      <w:pPr>
        <w:pStyle w:val="2"/>
        <w:shd w:val="clear" w:color="auto" w:fill="FFFFFF"/>
        <w:spacing w:before="0" w:beforeAutospacing="0" w:after="0" w:afterAutospacing="0"/>
        <w:ind w:firstLine="400" w:firstLineChars="200"/>
        <w:rPr>
          <w:rFonts w:hint="eastAsia" w:ascii="微软雅黑" w:hAnsi="微软雅黑" w:eastAsia="微软雅黑"/>
          <w:color w:val="000000"/>
          <w:sz w:val="20"/>
          <w:szCs w:val="20"/>
          <w:lang w:val="en-US" w:eastAsia="zh-CN"/>
        </w:rPr>
      </w:pPr>
      <w:r>
        <w:rPr>
          <w:rFonts w:hint="eastAsia" w:ascii="微软雅黑" w:hAnsi="微软雅黑" w:eastAsia="微软雅黑"/>
          <w:color w:val="000000"/>
          <w:sz w:val="20"/>
          <w:szCs w:val="20"/>
        </w:rPr>
        <w:t>2020年度收、支总计7,895.00万元。收、支较上年决算数增加7,895.00万元,增长0.00%,主要原因</w:t>
      </w:r>
      <w:r>
        <w:rPr>
          <w:rFonts w:hint="eastAsia" w:ascii="微软雅黑" w:hAnsi="微软雅黑" w:eastAsia="微软雅黑"/>
          <w:color w:val="000000"/>
          <w:sz w:val="20"/>
          <w:szCs w:val="20"/>
          <w:lang w:eastAsia="zh-CN"/>
        </w:rPr>
        <w:t>单位为</w:t>
      </w:r>
      <w:r>
        <w:rPr>
          <w:rFonts w:hint="eastAsia" w:ascii="微软雅黑" w:hAnsi="微软雅黑" w:eastAsia="微软雅黑"/>
          <w:color w:val="000000"/>
          <w:sz w:val="20"/>
          <w:szCs w:val="20"/>
          <w:lang w:val="en-US" w:eastAsia="zh-CN"/>
        </w:rPr>
        <w:t>2020年新增单位，取得的收支为当年数</w:t>
      </w:r>
      <w:r>
        <w:rPr>
          <w:rFonts w:hint="eastAsia" w:ascii="微软雅黑" w:hAnsi="微软雅黑" w:eastAsia="微软雅黑"/>
          <w:color w:val="000000"/>
          <w:sz w:val="20"/>
          <w:szCs w:val="20"/>
        </w:rPr>
        <w:t>。</w:t>
      </w:r>
      <w:r>
        <w:rPr>
          <w:rFonts w:hint="eastAsia" w:ascii="微软雅黑" w:hAnsi="微软雅黑" w:eastAsia="微软雅黑"/>
          <w:color w:val="000000"/>
          <w:sz w:val="20"/>
          <w:szCs w:val="20"/>
          <w:lang w:val="en-US" w:eastAsia="zh-CN"/>
        </w:rPr>
        <w:t>。本部分的收入总计包括收入合计7895万元，支出总计包括本年支出合计53.67万元、年末结转和结余7841.33万元。</w:t>
      </w:r>
    </w:p>
    <w:p>
      <w:pPr>
        <w:pStyle w:val="2"/>
        <w:shd w:val="clear" w:color="auto" w:fill="FFFFFF"/>
        <w:spacing w:before="0" w:beforeAutospacing="0" w:after="0" w:afterAutospacing="0"/>
        <w:ind w:firstLine="400" w:firstLineChars="20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二、收入决算情况说明</w:t>
      </w:r>
    </w:p>
    <w:p>
      <w:pPr>
        <w:pStyle w:val="2"/>
        <w:shd w:val="clear" w:color="auto" w:fill="FFFFFF"/>
        <w:spacing w:before="0" w:beforeAutospacing="0" w:after="0" w:afterAutospacing="0"/>
        <w:ind w:firstLine="400" w:firstLineChars="20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2020年度收入合计7,895.00万元，其中：一般公共预算财政拨款收入7,895.00万元，占100.00%；</w:t>
      </w:r>
    </w:p>
    <w:p>
      <w:pPr>
        <w:pStyle w:val="2"/>
        <w:shd w:val="clear" w:color="auto" w:fill="FFFFFF"/>
        <w:spacing w:before="0" w:beforeAutospacing="0" w:after="0" w:afterAutospacing="0"/>
        <w:ind w:firstLine="400" w:firstLineChars="20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三、支出决算情况说明</w:t>
      </w:r>
    </w:p>
    <w:p>
      <w:pPr>
        <w:pStyle w:val="2"/>
        <w:shd w:val="clear" w:color="auto" w:fill="FFFFFF"/>
        <w:spacing w:before="0" w:beforeAutospacing="0" w:after="0" w:afterAutospacing="0"/>
        <w:ind w:firstLine="400" w:firstLineChars="20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2020年度支出合计53.67万元，其中：项目支出53.67万元，占100.00%；</w:t>
      </w:r>
    </w:p>
    <w:p>
      <w:pPr>
        <w:pStyle w:val="2"/>
        <w:shd w:val="clear" w:color="auto" w:fill="FFFFFF"/>
        <w:spacing w:before="0" w:beforeAutospacing="0" w:after="0" w:afterAutospacing="0"/>
        <w:ind w:firstLine="400" w:firstLineChars="20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四、财政拨款收入支出决算总体情况说明</w:t>
      </w:r>
    </w:p>
    <w:p>
      <w:pPr>
        <w:pStyle w:val="2"/>
        <w:shd w:val="clear" w:color="auto" w:fill="FFFFFF"/>
        <w:spacing w:before="0" w:beforeAutospacing="0" w:after="0" w:afterAutospacing="0"/>
        <w:ind w:firstLine="400" w:firstLineChars="20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2020年度财政拨款收、支总计7,895.00万元。与2019年相比，财政拨款收、支总计各增加7,895.00万元，增长0.00%。主要原因是</w:t>
      </w:r>
      <w:r>
        <w:rPr>
          <w:rFonts w:hint="eastAsia" w:ascii="微软雅黑" w:hAnsi="微软雅黑" w:eastAsia="微软雅黑"/>
          <w:color w:val="000000"/>
          <w:sz w:val="20"/>
          <w:szCs w:val="20"/>
          <w:lang w:eastAsia="zh-CN"/>
        </w:rPr>
        <w:t>单位为</w:t>
      </w:r>
      <w:r>
        <w:rPr>
          <w:rFonts w:hint="eastAsia" w:ascii="微软雅黑" w:hAnsi="微软雅黑" w:eastAsia="微软雅黑"/>
          <w:color w:val="000000"/>
          <w:sz w:val="20"/>
          <w:szCs w:val="20"/>
          <w:lang w:val="en-US" w:eastAsia="zh-CN"/>
        </w:rPr>
        <w:t>2020年新增单位，无上年数可比较</w:t>
      </w:r>
      <w:r>
        <w:rPr>
          <w:rFonts w:hint="eastAsia" w:ascii="微软雅黑" w:hAnsi="微软雅黑" w:eastAsia="微软雅黑"/>
          <w:color w:val="000000"/>
          <w:sz w:val="20"/>
          <w:szCs w:val="20"/>
        </w:rPr>
        <w:t>。</w:t>
      </w:r>
    </w:p>
    <w:p>
      <w:pPr>
        <w:pStyle w:val="2"/>
        <w:shd w:val="clear" w:color="auto" w:fill="FFFFFF"/>
        <w:spacing w:before="0" w:beforeAutospacing="0" w:after="0" w:afterAutospacing="0"/>
        <w:ind w:firstLine="400" w:firstLineChars="20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五、一般公共预算财政拨款支出决算情况说明</w:t>
      </w:r>
    </w:p>
    <w:p>
      <w:pPr>
        <w:pStyle w:val="2"/>
        <w:shd w:val="clear" w:color="auto" w:fill="FFFFFF"/>
        <w:spacing w:before="0" w:beforeAutospacing="0" w:after="0" w:afterAutospacing="0"/>
        <w:ind w:firstLine="400" w:firstLineChars="20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2020年度一般公共预算财政拨款支出53.67万元，较上年决算数增加53.67万元，增长0.00%。主要原因是</w:t>
      </w:r>
      <w:r>
        <w:rPr>
          <w:rFonts w:hint="eastAsia" w:ascii="微软雅黑" w:hAnsi="微软雅黑" w:eastAsia="微软雅黑"/>
          <w:color w:val="000000"/>
          <w:sz w:val="20"/>
          <w:szCs w:val="20"/>
          <w:lang w:eastAsia="zh-CN"/>
        </w:rPr>
        <w:t>单位为</w:t>
      </w:r>
      <w:r>
        <w:rPr>
          <w:rFonts w:hint="eastAsia" w:ascii="微软雅黑" w:hAnsi="微软雅黑" w:eastAsia="微软雅黑"/>
          <w:color w:val="000000"/>
          <w:sz w:val="20"/>
          <w:szCs w:val="20"/>
          <w:lang w:val="en-US" w:eastAsia="zh-CN"/>
        </w:rPr>
        <w:t>2020年新增单位，无上年数可比较。</w:t>
      </w:r>
      <w:r>
        <w:rPr>
          <w:rFonts w:hint="eastAsia" w:ascii="微软雅黑" w:hAnsi="微软雅黑" w:eastAsia="微软雅黑"/>
          <w:color w:val="000000"/>
          <w:sz w:val="20"/>
          <w:szCs w:val="20"/>
        </w:rPr>
        <w:t>主要用于以下几个方面：</w:t>
      </w:r>
    </w:p>
    <w:p>
      <w:pPr>
        <w:pStyle w:val="2"/>
        <w:shd w:val="clear" w:color="auto" w:fill="FFFFFF"/>
        <w:spacing w:before="0" w:beforeAutospacing="0" w:after="0" w:afterAutospacing="0"/>
        <w:ind w:firstLine="400" w:firstLineChars="200"/>
        <w:rPr>
          <w:rFonts w:hint="eastAsia" w:ascii="微软雅黑" w:hAnsi="微软雅黑" w:eastAsia="微软雅黑"/>
          <w:color w:val="000000"/>
          <w:sz w:val="20"/>
          <w:szCs w:val="20"/>
          <w:lang w:eastAsia="zh-CN"/>
        </w:rPr>
      </w:pPr>
      <w:r>
        <w:rPr>
          <w:rFonts w:hint="eastAsia" w:ascii="微软雅黑" w:hAnsi="微软雅黑" w:eastAsia="微软雅黑"/>
          <w:color w:val="000000"/>
          <w:sz w:val="20"/>
          <w:szCs w:val="20"/>
          <w:lang w:val="en-US" w:eastAsia="zh-CN"/>
        </w:rPr>
        <w:t xml:space="preserve">1. </w:t>
      </w:r>
      <w:r>
        <w:rPr>
          <w:rFonts w:hint="eastAsia" w:ascii="微软雅黑" w:hAnsi="微软雅黑" w:eastAsia="微软雅黑"/>
          <w:color w:val="000000"/>
          <w:sz w:val="20"/>
          <w:szCs w:val="20"/>
          <w:lang w:eastAsia="zh-CN"/>
        </w:rPr>
        <w:t>节能环保支出年初预算数为7,895.00万元，支出决算为53.67万元，完成年初预算的0.68%,决算数小于预算数的主要原因是.由于单位为2020年成立单位，人员配备还在招考阶段，业务未开展。</w:t>
      </w:r>
    </w:p>
    <w:p>
      <w:pPr>
        <w:pStyle w:val="2"/>
        <w:numPr>
          <w:ilvl w:val="0"/>
          <w:numId w:val="0"/>
        </w:numPr>
        <w:shd w:val="clear" w:color="auto" w:fill="FFFFFF"/>
        <w:spacing w:before="0" w:beforeAutospacing="0" w:after="0" w:afterAutospacing="0"/>
        <w:ind w:firstLine="400" w:firstLineChars="20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六、一般公共预算财政拨款基本支出决算情况说明</w:t>
      </w:r>
    </w:p>
    <w:p>
      <w:pPr>
        <w:pStyle w:val="2"/>
        <w:shd w:val="clear" w:color="auto" w:fill="FFFFFF"/>
        <w:spacing w:before="0" w:beforeAutospacing="0" w:after="0" w:afterAutospacing="0"/>
        <w:ind w:firstLine="400" w:firstLineChars="200"/>
        <w:rPr>
          <w:rFonts w:hint="eastAsia" w:ascii="微软雅黑" w:hAnsi="微软雅黑" w:eastAsia="微软雅黑"/>
          <w:color w:val="000000"/>
          <w:sz w:val="20"/>
          <w:szCs w:val="20"/>
          <w:lang w:val="en-US" w:eastAsia="zh-CN"/>
        </w:rPr>
      </w:pPr>
      <w:r>
        <w:rPr>
          <w:rFonts w:hint="eastAsia" w:ascii="微软雅黑" w:hAnsi="微软雅黑" w:eastAsia="微软雅黑"/>
          <w:color w:val="000000"/>
          <w:sz w:val="20"/>
          <w:szCs w:val="20"/>
          <w:lang w:eastAsia="zh-CN"/>
        </w:rPr>
        <w:t>单位为</w:t>
      </w:r>
      <w:r>
        <w:rPr>
          <w:rFonts w:hint="eastAsia" w:ascii="微软雅黑" w:hAnsi="微软雅黑" w:eastAsia="微软雅黑"/>
          <w:color w:val="000000"/>
          <w:sz w:val="20"/>
          <w:szCs w:val="20"/>
          <w:lang w:val="en-US" w:eastAsia="zh-CN"/>
        </w:rPr>
        <w:t>2020年新增单位，因人员未到位，无基本支出。</w:t>
      </w:r>
      <w:bookmarkStart w:id="0" w:name="_GoBack"/>
      <w:bookmarkEnd w:id="0"/>
    </w:p>
    <w:p>
      <w:pPr>
        <w:pStyle w:val="2"/>
        <w:shd w:val="clear" w:color="auto" w:fill="FFFFFF"/>
        <w:spacing w:before="0" w:beforeAutospacing="0" w:after="0" w:afterAutospacing="0"/>
        <w:ind w:firstLine="400" w:firstLineChars="20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七、一般公共预算财政拨款“三公”经费支出决算情况说明</w:t>
      </w:r>
    </w:p>
    <w:p>
      <w:pPr>
        <w:pStyle w:val="2"/>
        <w:shd w:val="clear" w:color="auto" w:fill="FFFFFF"/>
        <w:spacing w:before="0" w:beforeAutospacing="0" w:after="0" w:afterAutospacing="0"/>
        <w:ind w:firstLine="400" w:firstLineChars="200"/>
        <w:rPr>
          <w:rFonts w:hint="eastAsia" w:ascii="微软雅黑" w:hAnsi="微软雅黑" w:eastAsia="微软雅黑"/>
          <w:color w:val="000000"/>
          <w:sz w:val="20"/>
          <w:szCs w:val="20"/>
          <w:lang w:val="en-US" w:eastAsia="zh-CN"/>
        </w:rPr>
      </w:pPr>
      <w:r>
        <w:rPr>
          <w:rFonts w:hint="eastAsia" w:ascii="微软雅黑" w:hAnsi="微软雅黑" w:eastAsia="微软雅黑"/>
          <w:color w:val="000000"/>
          <w:sz w:val="20"/>
          <w:szCs w:val="20"/>
          <w:lang w:val="en-US" w:eastAsia="zh-CN"/>
        </w:rPr>
        <w:t>单位为2020年新增单位，2020年财政预算未安排“三公”经费。</w:t>
      </w:r>
    </w:p>
    <w:p>
      <w:pPr>
        <w:pStyle w:val="2"/>
        <w:shd w:val="clear" w:color="auto" w:fill="FFFFFF"/>
        <w:spacing w:before="0" w:beforeAutospacing="0" w:after="0" w:afterAutospacing="0"/>
        <w:ind w:firstLine="400" w:firstLineChars="20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八、机关运行经费支出情况说明</w:t>
      </w:r>
    </w:p>
    <w:p>
      <w:pPr>
        <w:pStyle w:val="2"/>
        <w:shd w:val="clear" w:color="auto" w:fill="FFFFFF"/>
        <w:spacing w:before="0" w:beforeAutospacing="0" w:after="0" w:afterAutospacing="0"/>
        <w:ind w:firstLine="400" w:firstLineChars="20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单位</w:t>
      </w:r>
      <w:r>
        <w:rPr>
          <w:rFonts w:hint="eastAsia" w:ascii="微软雅黑" w:hAnsi="微软雅黑" w:eastAsia="微软雅黑"/>
          <w:color w:val="000000"/>
          <w:sz w:val="20"/>
          <w:szCs w:val="20"/>
          <w:lang w:eastAsia="zh-CN"/>
        </w:rPr>
        <w:t>为</w:t>
      </w:r>
      <w:r>
        <w:rPr>
          <w:rFonts w:hint="eastAsia" w:ascii="微软雅黑" w:hAnsi="微软雅黑" w:eastAsia="微软雅黑"/>
          <w:color w:val="000000"/>
          <w:sz w:val="20"/>
          <w:szCs w:val="20"/>
        </w:rPr>
        <w:t>2020年</w:t>
      </w:r>
      <w:r>
        <w:rPr>
          <w:rFonts w:hint="eastAsia" w:ascii="微软雅黑" w:hAnsi="微软雅黑" w:eastAsia="微软雅黑"/>
          <w:color w:val="000000"/>
          <w:sz w:val="20"/>
          <w:szCs w:val="20"/>
          <w:lang w:eastAsia="zh-CN"/>
        </w:rPr>
        <w:t>新增单位，</w:t>
      </w:r>
      <w:r>
        <w:rPr>
          <w:rFonts w:hint="eastAsia" w:ascii="微软雅黑" w:hAnsi="微软雅黑" w:eastAsia="微软雅黑"/>
          <w:color w:val="000000"/>
          <w:sz w:val="20"/>
          <w:szCs w:val="20"/>
        </w:rPr>
        <w:t>无机关运行相关经费。</w:t>
      </w:r>
    </w:p>
    <w:p>
      <w:pPr>
        <w:pStyle w:val="2"/>
        <w:shd w:val="clear" w:color="auto" w:fill="FFFFFF"/>
        <w:spacing w:before="0" w:beforeAutospacing="0" w:after="0" w:afterAutospacing="0"/>
        <w:ind w:firstLine="400" w:firstLineChars="20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九、政府采购支出情况说明</w:t>
      </w:r>
    </w:p>
    <w:p>
      <w:pPr>
        <w:pStyle w:val="2"/>
        <w:shd w:val="clear" w:color="auto" w:fill="FFFFFF"/>
        <w:spacing w:before="0" w:beforeAutospacing="0" w:after="0" w:afterAutospacing="0"/>
        <w:ind w:firstLine="400" w:firstLineChars="20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我单位2020年度无政府采购相关经费。</w:t>
      </w:r>
    </w:p>
    <w:p>
      <w:pPr>
        <w:pStyle w:val="2"/>
        <w:numPr>
          <w:ilvl w:val="0"/>
          <w:numId w:val="0"/>
        </w:numPr>
        <w:shd w:val="clear" w:color="auto" w:fill="FFFFFF"/>
        <w:spacing w:before="0" w:beforeAutospacing="0" w:after="0" w:afterAutospacing="0"/>
        <w:ind w:firstLine="400" w:firstLineChars="200"/>
        <w:rPr>
          <w:rFonts w:hint="eastAsia" w:ascii="微软雅黑" w:hAnsi="微软雅黑" w:eastAsia="微软雅黑"/>
          <w:color w:val="000000"/>
          <w:sz w:val="20"/>
          <w:szCs w:val="20"/>
        </w:rPr>
      </w:pPr>
      <w:r>
        <w:rPr>
          <w:rFonts w:hint="eastAsia" w:ascii="微软雅黑" w:hAnsi="微软雅黑" w:eastAsia="微软雅黑"/>
          <w:color w:val="000000"/>
          <w:sz w:val="20"/>
          <w:szCs w:val="20"/>
          <w:lang w:eastAsia="zh-CN"/>
        </w:rPr>
        <w:t>十、</w:t>
      </w:r>
      <w:r>
        <w:rPr>
          <w:rFonts w:hint="eastAsia" w:ascii="微软雅黑" w:hAnsi="微软雅黑" w:eastAsia="微软雅黑"/>
          <w:color w:val="000000"/>
          <w:sz w:val="20"/>
          <w:szCs w:val="20"/>
        </w:rPr>
        <w:t>国有资产占用情况说明</w:t>
      </w:r>
    </w:p>
    <w:p>
      <w:pPr>
        <w:pStyle w:val="2"/>
        <w:numPr>
          <w:ilvl w:val="0"/>
          <w:numId w:val="0"/>
        </w:numPr>
        <w:shd w:val="clear" w:color="auto" w:fill="FFFFFF"/>
        <w:spacing w:before="0" w:beforeAutospacing="0" w:after="0" w:afterAutospacing="0"/>
        <w:ind w:firstLine="400" w:firstLineChars="200"/>
        <w:rPr>
          <w:rFonts w:hint="default" w:ascii="微软雅黑" w:hAnsi="微软雅黑" w:eastAsia="微软雅黑"/>
          <w:color w:val="000000"/>
          <w:sz w:val="20"/>
          <w:szCs w:val="20"/>
          <w:lang w:val="en-US" w:eastAsia="zh-CN"/>
        </w:rPr>
      </w:pPr>
      <w:r>
        <w:rPr>
          <w:rFonts w:hint="eastAsia" w:ascii="微软雅黑" w:hAnsi="微软雅黑" w:eastAsia="微软雅黑"/>
          <w:color w:val="000000"/>
          <w:sz w:val="20"/>
          <w:szCs w:val="20"/>
          <w:lang w:eastAsia="zh-CN"/>
        </w:rPr>
        <w:t>单位为</w:t>
      </w:r>
      <w:r>
        <w:rPr>
          <w:rFonts w:hint="eastAsia" w:ascii="微软雅黑" w:hAnsi="微软雅黑" w:eastAsia="微软雅黑"/>
          <w:color w:val="000000"/>
          <w:sz w:val="20"/>
          <w:szCs w:val="20"/>
          <w:lang w:val="en-US" w:eastAsia="zh-CN"/>
        </w:rPr>
        <w:t>2020年新增单位，没有占用国有资产。</w:t>
      </w:r>
    </w:p>
    <w:p>
      <w:pPr>
        <w:pStyle w:val="2"/>
        <w:shd w:val="clear" w:color="auto" w:fill="FFFFFF"/>
        <w:spacing w:before="0" w:beforeAutospacing="0" w:after="0" w:afterAutospacing="0"/>
        <w:ind w:firstLine="400" w:firstLineChars="20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十一、政府性基金预算财政拨款收支决算情况说明</w:t>
      </w:r>
    </w:p>
    <w:p>
      <w:pPr>
        <w:pStyle w:val="2"/>
        <w:numPr>
          <w:ilvl w:val="0"/>
          <w:numId w:val="0"/>
        </w:numPr>
        <w:shd w:val="clear" w:color="auto" w:fill="FFFFFF"/>
        <w:spacing w:before="0" w:beforeAutospacing="0" w:after="0" w:afterAutospacing="0"/>
        <w:ind w:firstLine="400" w:firstLineChars="200"/>
        <w:rPr>
          <w:rFonts w:hint="eastAsia" w:ascii="微软雅黑" w:hAnsi="微软雅黑" w:eastAsia="微软雅黑"/>
          <w:color w:val="000000"/>
          <w:sz w:val="20"/>
          <w:szCs w:val="20"/>
          <w:lang w:val="en-US" w:eastAsia="zh-CN"/>
        </w:rPr>
      </w:pPr>
      <w:r>
        <w:rPr>
          <w:rFonts w:hint="eastAsia" w:ascii="微软雅黑" w:hAnsi="微软雅黑" w:eastAsia="微软雅黑"/>
          <w:color w:val="000000"/>
          <w:sz w:val="20"/>
          <w:szCs w:val="20"/>
          <w:lang w:val="en-US" w:eastAsia="zh-CN"/>
        </w:rPr>
        <w:t>本部门2020年度无政府性基金收入，也没有使用政府性基金安排的支出。</w:t>
      </w:r>
    </w:p>
    <w:p>
      <w:pPr>
        <w:pStyle w:val="2"/>
        <w:numPr>
          <w:ilvl w:val="0"/>
          <w:numId w:val="0"/>
        </w:numPr>
        <w:shd w:val="clear" w:color="auto" w:fill="FFFFFF"/>
        <w:spacing w:before="0" w:beforeAutospacing="0" w:after="0" w:afterAutospacing="0"/>
        <w:ind w:firstLine="400" w:firstLineChars="200"/>
        <w:rPr>
          <w:rFonts w:hint="eastAsia" w:ascii="微软雅黑" w:hAnsi="微软雅黑" w:eastAsia="微软雅黑"/>
          <w:color w:val="000000"/>
          <w:sz w:val="20"/>
          <w:szCs w:val="20"/>
          <w:lang w:val="en-US" w:eastAsia="zh-CN"/>
        </w:rPr>
      </w:pPr>
      <w:r>
        <w:rPr>
          <w:rFonts w:hint="eastAsia" w:ascii="微软雅黑" w:hAnsi="微软雅黑" w:eastAsia="微软雅黑"/>
          <w:color w:val="000000"/>
          <w:sz w:val="20"/>
          <w:szCs w:val="20"/>
          <w:lang w:val="en-US" w:eastAsia="zh-CN"/>
        </w:rPr>
        <w:t>十二、国有资本经营预算财政拨款支出情况说明</w:t>
      </w:r>
    </w:p>
    <w:p>
      <w:pPr>
        <w:pStyle w:val="2"/>
        <w:numPr>
          <w:ilvl w:val="0"/>
          <w:numId w:val="0"/>
        </w:numPr>
        <w:shd w:val="clear" w:color="auto" w:fill="FFFFFF"/>
        <w:spacing w:before="0" w:beforeAutospacing="0" w:after="0" w:afterAutospacing="0"/>
        <w:ind w:firstLine="400" w:firstLineChars="200"/>
        <w:rPr>
          <w:rFonts w:hint="eastAsia" w:ascii="微软雅黑" w:hAnsi="微软雅黑" w:eastAsia="微软雅黑"/>
          <w:color w:val="000000"/>
          <w:sz w:val="20"/>
          <w:szCs w:val="20"/>
          <w:lang w:val="en-US" w:eastAsia="zh-CN"/>
        </w:rPr>
      </w:pPr>
      <w:r>
        <w:rPr>
          <w:rFonts w:hint="eastAsia" w:ascii="微软雅黑" w:hAnsi="微软雅黑" w:eastAsia="微软雅黑"/>
          <w:color w:val="000000"/>
          <w:sz w:val="20"/>
          <w:szCs w:val="20"/>
          <w:lang w:val="en-US" w:eastAsia="zh-CN"/>
        </w:rPr>
        <w:t>本部门2020年度没有使用国有资本经营预算安排的支出。</w:t>
      </w:r>
    </w:p>
    <w:p>
      <w:pPr>
        <w:pStyle w:val="2"/>
        <w:numPr>
          <w:ilvl w:val="0"/>
          <w:numId w:val="0"/>
        </w:numPr>
        <w:shd w:val="clear" w:color="auto" w:fill="FFFFFF"/>
        <w:spacing w:before="0" w:beforeAutospacing="0" w:after="0" w:afterAutospacing="0"/>
        <w:ind w:firstLine="400" w:firstLineChars="200"/>
        <w:rPr>
          <w:rFonts w:hint="eastAsia" w:ascii="微软雅黑" w:hAnsi="微软雅黑" w:eastAsia="微软雅黑"/>
          <w:color w:val="000000"/>
          <w:sz w:val="20"/>
          <w:szCs w:val="20"/>
          <w:lang w:val="en-US" w:eastAsia="zh-CN"/>
        </w:rPr>
      </w:pPr>
      <w:r>
        <w:rPr>
          <w:rFonts w:hint="eastAsia" w:ascii="微软雅黑" w:hAnsi="微软雅黑" w:eastAsia="微软雅黑"/>
          <w:color w:val="000000"/>
          <w:sz w:val="20"/>
          <w:szCs w:val="20"/>
          <w:lang w:val="en-US" w:eastAsia="zh-CN"/>
        </w:rPr>
        <w:t>十三、预算绩效情况说明</w:t>
      </w:r>
    </w:p>
    <w:p>
      <w:pPr>
        <w:pStyle w:val="2"/>
        <w:numPr>
          <w:ilvl w:val="0"/>
          <w:numId w:val="0"/>
        </w:numPr>
        <w:shd w:val="clear" w:color="auto" w:fill="FFFFFF"/>
        <w:spacing w:before="0" w:beforeAutospacing="0" w:after="0" w:afterAutospacing="0"/>
        <w:ind w:firstLine="400" w:firstLineChars="200"/>
        <w:rPr>
          <w:rFonts w:hint="eastAsia" w:ascii="微软雅黑" w:hAnsi="微软雅黑" w:eastAsia="微软雅黑"/>
          <w:color w:val="000000"/>
          <w:sz w:val="20"/>
          <w:szCs w:val="20"/>
          <w:lang w:val="en-US" w:eastAsia="zh-CN"/>
        </w:rPr>
      </w:pPr>
      <w:r>
        <w:rPr>
          <w:rFonts w:hint="eastAsia" w:ascii="微软雅黑" w:hAnsi="微软雅黑" w:eastAsia="微软雅黑"/>
          <w:color w:val="000000"/>
          <w:sz w:val="20"/>
          <w:szCs w:val="20"/>
          <w:lang w:val="en-US" w:eastAsia="zh-CN"/>
        </w:rPr>
        <w:t>本单位未开展预算绩效管理,。</w:t>
      </w:r>
    </w:p>
    <w:p>
      <w:pPr>
        <w:pStyle w:val="2"/>
        <w:shd w:val="clear" w:color="auto" w:fill="FFFFFF"/>
        <w:spacing w:before="0" w:beforeAutospacing="0" w:after="0" w:afterAutospacing="0"/>
        <w:rPr>
          <w:rFonts w:hint="eastAsia" w:ascii="微软雅黑" w:hAnsi="微软雅黑" w:eastAsia="微软雅黑"/>
          <w:color w:val="000000"/>
          <w:sz w:val="20"/>
          <w:szCs w:val="20"/>
        </w:rPr>
      </w:pP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Style w:val="5"/>
          <w:rFonts w:hint="eastAsia" w:ascii="微软雅黑" w:hAnsi="微软雅黑" w:eastAsia="微软雅黑"/>
          <w:color w:val="000000"/>
          <w:sz w:val="20"/>
          <w:szCs w:val="20"/>
        </w:rPr>
        <w:t>第四部分  名词解释</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以下为常见专业名词解释目录，仅供参考，部门应根据实际情况进行解释和增减。比如可将类级功能科目和经济科目细化解释到项级。若有删减注意调整段落序号。</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Style w:val="5"/>
          <w:rFonts w:hint="eastAsia" w:ascii="微软雅黑" w:hAnsi="微软雅黑" w:eastAsia="微软雅黑"/>
          <w:color w:val="000000"/>
          <w:sz w:val="20"/>
          <w:szCs w:val="20"/>
        </w:rPr>
        <w:t>一、财政拨款收入</w:t>
      </w:r>
      <w:r>
        <w:rPr>
          <w:rFonts w:hint="eastAsia" w:ascii="微软雅黑" w:hAnsi="微软雅黑" w:eastAsia="微软雅黑"/>
          <w:color w:val="000000"/>
          <w:sz w:val="20"/>
          <w:szCs w:val="20"/>
        </w:rPr>
        <w:t>：指本年度从本级财政部门取得的财政拨款，包括一般公共预算财政拨款和政府性基金预算财政拨款。</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Style w:val="5"/>
          <w:rFonts w:hint="eastAsia" w:ascii="微软雅黑" w:hAnsi="微软雅黑" w:eastAsia="微软雅黑"/>
          <w:color w:val="000000"/>
          <w:sz w:val="20"/>
          <w:szCs w:val="20"/>
        </w:rPr>
        <w:t>二、事业收入</w:t>
      </w:r>
      <w:r>
        <w:rPr>
          <w:rFonts w:hint="eastAsia" w:ascii="微软雅黑" w:hAnsi="微软雅黑" w:eastAsia="微软雅黑"/>
          <w:color w:val="000000"/>
          <w:sz w:val="20"/>
          <w:szCs w:val="20"/>
        </w:rPr>
        <w:t>：指事业单位开展专业业务活动及其辅助活动取得的现金流入；事业单位收到的财政专户实际核拨的教育收费等资金在此反映。</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Style w:val="5"/>
          <w:rFonts w:hint="eastAsia" w:ascii="微软雅黑" w:hAnsi="微软雅黑" w:eastAsia="微软雅黑"/>
          <w:color w:val="000000"/>
          <w:sz w:val="20"/>
          <w:szCs w:val="20"/>
        </w:rPr>
        <w:t>三、经营收入</w:t>
      </w:r>
      <w:r>
        <w:rPr>
          <w:rFonts w:hint="eastAsia" w:ascii="微软雅黑" w:hAnsi="微软雅黑" w:eastAsia="微软雅黑"/>
          <w:color w:val="000000"/>
          <w:sz w:val="20"/>
          <w:szCs w:val="20"/>
        </w:rPr>
        <w:t>：指事业单位在专业业务活动及其辅助活动之外开展非独立核算经营活动取得的现金流入。</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Style w:val="5"/>
          <w:rFonts w:hint="eastAsia" w:ascii="微软雅黑" w:hAnsi="微软雅黑" w:eastAsia="微软雅黑"/>
          <w:color w:val="000000"/>
          <w:sz w:val="20"/>
          <w:szCs w:val="20"/>
        </w:rPr>
        <w:t>四、其他收入</w:t>
      </w:r>
      <w:r>
        <w:rPr>
          <w:rFonts w:hint="eastAsia" w:ascii="微软雅黑" w:hAnsi="微软雅黑" w:eastAsia="微软雅黑"/>
          <w:color w:val="000000"/>
          <w:sz w:val="20"/>
          <w:szCs w:val="20"/>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Style w:val="5"/>
          <w:rFonts w:hint="eastAsia" w:ascii="微软雅黑" w:hAnsi="微软雅黑" w:eastAsia="微软雅黑"/>
          <w:color w:val="000000"/>
          <w:sz w:val="20"/>
          <w:szCs w:val="20"/>
        </w:rPr>
        <w:t>五、用事业基金弥补收支差额</w:t>
      </w:r>
      <w:r>
        <w:rPr>
          <w:rFonts w:hint="eastAsia" w:ascii="微软雅黑" w:hAnsi="微软雅黑" w:eastAsia="微软雅黑"/>
          <w:color w:val="000000"/>
          <w:sz w:val="20"/>
          <w:szCs w:val="20"/>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Style w:val="5"/>
          <w:rFonts w:hint="eastAsia" w:ascii="微软雅黑" w:hAnsi="微软雅黑" w:eastAsia="微软雅黑"/>
          <w:color w:val="000000"/>
          <w:sz w:val="20"/>
          <w:szCs w:val="20"/>
        </w:rPr>
        <w:t>六、年初结转和结余</w:t>
      </w:r>
      <w:r>
        <w:rPr>
          <w:rFonts w:hint="eastAsia" w:ascii="微软雅黑" w:hAnsi="微软雅黑" w:eastAsia="微软雅黑"/>
          <w:color w:val="000000"/>
          <w:sz w:val="20"/>
          <w:szCs w:val="20"/>
        </w:rPr>
        <w:t>：指单位上年结转本年使用的基本支出结转、项目支出结转和结余、经营结余。</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Style w:val="5"/>
          <w:rFonts w:hint="eastAsia" w:ascii="微软雅黑" w:hAnsi="微软雅黑" w:eastAsia="微软雅黑"/>
          <w:color w:val="000000"/>
          <w:sz w:val="20"/>
          <w:szCs w:val="20"/>
        </w:rPr>
        <w:t>七、结余分配</w:t>
      </w:r>
      <w:r>
        <w:rPr>
          <w:rFonts w:hint="eastAsia" w:ascii="微软雅黑" w:hAnsi="微软雅黑" w:eastAsia="微软雅黑"/>
          <w:color w:val="000000"/>
          <w:sz w:val="20"/>
          <w:szCs w:val="20"/>
        </w:rPr>
        <w:t>：指单位按照国家有关规定，缴纳所得税、提取专用基金、转入事业基金等当年结余的分配情况。</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Style w:val="5"/>
          <w:rFonts w:hint="eastAsia" w:ascii="微软雅黑" w:hAnsi="微软雅黑" w:eastAsia="微软雅黑"/>
          <w:color w:val="000000"/>
          <w:sz w:val="20"/>
          <w:szCs w:val="20"/>
        </w:rPr>
        <w:t>八、年末结转和结余</w:t>
      </w:r>
      <w:r>
        <w:rPr>
          <w:rFonts w:hint="eastAsia" w:ascii="微软雅黑" w:hAnsi="微软雅黑" w:eastAsia="微软雅黑"/>
          <w:color w:val="000000"/>
          <w:sz w:val="20"/>
          <w:szCs w:val="20"/>
        </w:rPr>
        <w:t>：指单位结转下年的基本支出结转、项目支出结转和结余、经营结余。</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Style w:val="5"/>
          <w:rFonts w:hint="eastAsia" w:ascii="微软雅黑" w:hAnsi="微软雅黑" w:eastAsia="微软雅黑"/>
          <w:color w:val="000000"/>
          <w:sz w:val="20"/>
          <w:szCs w:val="20"/>
        </w:rPr>
        <w:t>九、基本支出</w:t>
      </w:r>
      <w:r>
        <w:rPr>
          <w:rFonts w:hint="eastAsia" w:ascii="微软雅黑" w:hAnsi="微软雅黑" w:eastAsia="微软雅黑"/>
          <w:color w:val="000000"/>
          <w:sz w:val="20"/>
          <w:szCs w:val="2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Style w:val="5"/>
          <w:rFonts w:hint="eastAsia" w:ascii="微软雅黑" w:hAnsi="微软雅黑" w:eastAsia="微软雅黑"/>
          <w:color w:val="000000"/>
          <w:sz w:val="20"/>
          <w:szCs w:val="20"/>
        </w:rPr>
        <w:t>十、项目支出</w:t>
      </w:r>
      <w:r>
        <w:rPr>
          <w:rFonts w:hint="eastAsia" w:ascii="微软雅黑" w:hAnsi="微软雅黑" w:eastAsia="微软雅黑"/>
          <w:color w:val="000000"/>
          <w:sz w:val="20"/>
          <w:szCs w:val="20"/>
        </w:rPr>
        <w:t>：指在基本支出之外为完成特定行政任务和事业发展目标所发生的支出。</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Style w:val="5"/>
          <w:rFonts w:hint="eastAsia" w:ascii="微软雅黑" w:hAnsi="微软雅黑" w:eastAsia="微软雅黑"/>
          <w:color w:val="000000"/>
          <w:sz w:val="20"/>
          <w:szCs w:val="20"/>
        </w:rPr>
        <w:t>十一、经营支出</w:t>
      </w:r>
      <w:r>
        <w:rPr>
          <w:rFonts w:hint="eastAsia" w:ascii="微软雅黑" w:hAnsi="微软雅黑" w:eastAsia="微软雅黑"/>
          <w:color w:val="000000"/>
          <w:sz w:val="20"/>
          <w:szCs w:val="20"/>
        </w:rPr>
        <w:t>：指事业单位在专业业务活动及其辅助活动之外开展非独立核算经营活动发生的支出。</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Style w:val="5"/>
          <w:rFonts w:hint="eastAsia" w:ascii="微软雅黑" w:hAnsi="微软雅黑" w:eastAsia="微软雅黑"/>
          <w:color w:val="000000"/>
          <w:sz w:val="20"/>
          <w:szCs w:val="20"/>
        </w:rPr>
        <w:t>十二、“三公”经费</w:t>
      </w:r>
      <w:r>
        <w:rPr>
          <w:rFonts w:hint="eastAsia" w:ascii="微软雅黑" w:hAnsi="微软雅黑" w:eastAsia="微软雅黑"/>
          <w:color w:val="000000"/>
          <w:sz w:val="20"/>
          <w:szCs w:val="20"/>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Style w:val="5"/>
          <w:rFonts w:hint="eastAsia" w:ascii="微软雅黑" w:hAnsi="微软雅黑" w:eastAsia="微软雅黑"/>
          <w:color w:val="000000"/>
          <w:sz w:val="20"/>
          <w:szCs w:val="20"/>
        </w:rPr>
        <w:t>十三、机关运行经费</w:t>
      </w:r>
      <w:r>
        <w:rPr>
          <w:rFonts w:hint="eastAsia" w:ascii="微软雅黑" w:hAnsi="微软雅黑" w:eastAsia="微软雅黑"/>
          <w:color w:val="000000"/>
          <w:sz w:val="20"/>
          <w:szCs w:val="20"/>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Style w:val="5"/>
          <w:rFonts w:hint="eastAsia" w:ascii="微软雅黑" w:hAnsi="微软雅黑" w:eastAsia="微软雅黑"/>
          <w:color w:val="000000"/>
          <w:sz w:val="20"/>
          <w:szCs w:val="20"/>
        </w:rPr>
        <w:t>十四、工资福利支出</w:t>
      </w:r>
      <w:r>
        <w:rPr>
          <w:rFonts w:hint="eastAsia" w:ascii="微软雅黑" w:hAnsi="微软雅黑" w:eastAsia="微软雅黑"/>
          <w:color w:val="000000"/>
          <w:sz w:val="20"/>
          <w:szCs w:val="20"/>
        </w:rPr>
        <w:t>（支出经济分类科目类级）：反映单位开支的在职职工和编制外长期聘用人员的各类劳动报酬，以及为上述人员缴纳的各项社会保险费等。</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Style w:val="5"/>
          <w:rFonts w:hint="eastAsia" w:ascii="微软雅黑" w:hAnsi="微软雅黑" w:eastAsia="微软雅黑"/>
          <w:color w:val="000000"/>
          <w:sz w:val="20"/>
          <w:szCs w:val="20"/>
        </w:rPr>
        <w:t>十五、商品和服务支出（支出经济分类科目类级）</w:t>
      </w:r>
      <w:r>
        <w:rPr>
          <w:rFonts w:hint="eastAsia" w:ascii="微软雅黑" w:hAnsi="微软雅黑" w:eastAsia="微软雅黑"/>
          <w:color w:val="000000"/>
          <w:sz w:val="20"/>
          <w:szCs w:val="20"/>
        </w:rPr>
        <w:t>：反映单位购买商品和服务的支出（不包括用于购置固定资产的支出、战略性和应急储备支出）。</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Style w:val="5"/>
          <w:rFonts w:hint="eastAsia" w:ascii="微软雅黑" w:hAnsi="微软雅黑" w:eastAsia="微软雅黑"/>
          <w:color w:val="000000"/>
          <w:sz w:val="20"/>
          <w:szCs w:val="20"/>
        </w:rPr>
        <w:t>十六、对个人和家庭的补助（支出经济分类科目类级）</w:t>
      </w:r>
      <w:r>
        <w:rPr>
          <w:rFonts w:hint="eastAsia" w:ascii="微软雅黑" w:hAnsi="微软雅黑" w:eastAsia="微软雅黑"/>
          <w:color w:val="000000"/>
          <w:sz w:val="20"/>
          <w:szCs w:val="20"/>
        </w:rPr>
        <w:t>：反映用于对个人和家庭的补助支出。</w:t>
      </w:r>
    </w:p>
    <w:p>
      <w:pPr>
        <w:pStyle w:val="2"/>
        <w:shd w:val="clear" w:color="auto" w:fill="FFFFFF"/>
        <w:spacing w:before="0" w:beforeAutospacing="0" w:after="0" w:afterAutospacing="0"/>
        <w:rPr>
          <w:rFonts w:hint="eastAsia" w:ascii="微软雅黑" w:hAnsi="微软雅黑" w:eastAsia="微软雅黑"/>
          <w:color w:val="000000"/>
          <w:sz w:val="20"/>
          <w:szCs w:val="20"/>
        </w:rPr>
      </w:pPr>
      <w:r>
        <w:rPr>
          <w:rStyle w:val="5"/>
          <w:rFonts w:hint="eastAsia" w:ascii="微软雅黑" w:hAnsi="微软雅黑" w:eastAsia="微软雅黑"/>
          <w:color w:val="000000"/>
          <w:sz w:val="20"/>
          <w:szCs w:val="20"/>
        </w:rPr>
        <w:t>十七、其他资本性支出（支出经济分类科目类级）</w:t>
      </w:r>
      <w:r>
        <w:rPr>
          <w:rFonts w:hint="eastAsia" w:ascii="微软雅黑" w:hAnsi="微软雅黑" w:eastAsia="微软雅黑"/>
          <w:color w:val="000000"/>
          <w:sz w:val="20"/>
          <w:szCs w:val="20"/>
        </w:rPr>
        <w:t>：反映非各级发展与改革部门集中安排的用于购置固定资产、战略性和应急性储备、土地和无形资产，以及构建基础设施、大型修缮和财政支持企业更新改造所发生的支出。</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2"/>
        <w:shd w:val="clear" w:color="auto" w:fill="FFFFFF"/>
        <w:spacing w:before="0" w:beforeAutospacing="0" w:after="0" w:afterAutospacing="0"/>
        <w:jc w:val="center"/>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1B"/>
    <w:rsid w:val="00516BCE"/>
    <w:rsid w:val="00FA6F1B"/>
    <w:rsid w:val="17E400DA"/>
    <w:rsid w:val="26770491"/>
    <w:rsid w:val="319375FE"/>
    <w:rsid w:val="45EE27AF"/>
    <w:rsid w:val="4E8A5EA2"/>
    <w:rsid w:val="69D940B1"/>
    <w:rsid w:val="6F8E4056"/>
    <w:rsid w:val="704835ED"/>
    <w:rsid w:val="753B2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1198</Words>
  <Characters>6834</Characters>
  <Lines>56</Lines>
  <Paragraphs>16</Paragraphs>
  <TotalTime>22</TotalTime>
  <ScaleCrop>false</ScaleCrop>
  <LinksUpToDate>false</LinksUpToDate>
  <CharactersWithSpaces>8016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2021-08-18T02:17:00Z</dcterms:created>
  <dc:creator>Administrator</dc:creator>
  <cp:lastModifiedBy>甘肃省林业厅三北防护林建设局</cp:lastModifiedBy>
  <dcterms:modified xsi:type="dcterms:W3CDTF">2021-08-19T06:47:26Z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28DED402DB124CB9867120B903BFAB63</vt:lpwstr>
  </property>
</Properties>
</file>